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石家庄仲裁委员会2023年度仲裁员考核表</w:t>
      </w:r>
    </w:p>
    <w:tbl>
      <w:tblPr>
        <w:tblStyle w:val="3"/>
        <w:tblpPr w:leftFromText="180" w:rightFromText="180" w:vertAnchor="text" w:horzAnchor="page" w:tblpX="1079" w:tblpY="934"/>
        <w:tblOverlap w:val="never"/>
        <w:tblW w:w="10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60"/>
        <w:gridCol w:w="740"/>
        <w:gridCol w:w="178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501" w:type="dxa"/>
            <w:gridSpan w:val="4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2023</w:t>
            </w: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年度</w:t>
            </w: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仲裁</w:t>
            </w: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总结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2023年度承办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案件情况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jc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担任本会首席仲裁员（   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41" w:type="dxa"/>
            <w:gridSpan w:val="3"/>
            <w:vAlign w:val="center"/>
          </w:tcPr>
          <w:p>
            <w:pPr>
              <w:jc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担任本会独任仲裁员（   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41" w:type="dxa"/>
            <w:gridSpan w:val="3"/>
            <w:vAlign w:val="center"/>
          </w:tcPr>
          <w:p>
            <w:pPr>
              <w:jc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担任本会仲裁员（   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41" w:type="dxa"/>
            <w:gridSpan w:val="3"/>
            <w:vAlign w:val="center"/>
          </w:tcPr>
          <w:p>
            <w:pPr>
              <w:jc w:val="both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所承办的案件有无被撤销、不予执行、涉诉涉访</w:t>
            </w:r>
          </w:p>
          <w:p>
            <w:pPr>
              <w:jc w:val="both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宣传仲裁法律制度及组织约定石家庄仲裁管辖情况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jc w:val="both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参加本会组织的活动情况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仲裁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总结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mQwOGU5OWFkZThhMWExNzRhZDY5MDk3OWE2MDAifQ=="/>
  </w:docVars>
  <w:rsids>
    <w:rsidRoot w:val="61FC091C"/>
    <w:rsid w:val="61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2023-11-15T06:44:00Z</dcterms:created>
  <dc:creator>何哲</dc:creator>
  <cp:lastModifiedBy>何哲</cp:lastModifiedBy>
  <dcterms:modified xsi:type="dcterms:W3CDTF">2023-11-15T06:44:55Z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30BE4B3018FA4F0993FB530FDC136F85_11</vt:lpwstr>
  </property>
</Properties>
</file>